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1BCC" w14:textId="77777777" w:rsidR="001320AD" w:rsidRPr="00684A1F" w:rsidRDefault="001320AD" w:rsidP="001320AD">
      <w:pPr>
        <w:jc w:val="center"/>
        <w:rPr>
          <w:sz w:val="24"/>
          <w:szCs w:val="24"/>
          <w:lang w:val="lv-LV"/>
        </w:rPr>
      </w:pPr>
      <w:bookmarkStart w:id="0" w:name="_Hlk172099271"/>
      <w:bookmarkStart w:id="1" w:name="_Hlk11155557"/>
      <w:r w:rsidRPr="00684A1F">
        <w:rPr>
          <w:sz w:val="24"/>
          <w:szCs w:val="24"/>
          <w:lang w:val="lv-LV"/>
        </w:rPr>
        <w:t>Olaines novada pašvaldības</w:t>
      </w:r>
    </w:p>
    <w:p w14:paraId="3A4B2FB6" w14:textId="77777777" w:rsidR="001320AD" w:rsidRPr="00684A1F" w:rsidRDefault="001320AD" w:rsidP="001320AD">
      <w:pPr>
        <w:jc w:val="center"/>
        <w:rPr>
          <w:sz w:val="24"/>
          <w:szCs w:val="24"/>
          <w:lang w:val="lv-LV"/>
        </w:rPr>
      </w:pPr>
      <w:bookmarkStart w:id="2" w:name="_Hlk72773299"/>
      <w:r w:rsidRPr="00684A1F">
        <w:rPr>
          <w:sz w:val="24"/>
          <w:szCs w:val="24"/>
          <w:lang w:val="lv-LV"/>
        </w:rPr>
        <w:t>Iepirkuma</w:t>
      </w:r>
      <w:r w:rsidRPr="00684A1F">
        <w:rPr>
          <w:b/>
          <w:sz w:val="24"/>
          <w:szCs w:val="24"/>
          <w:lang w:val="lv-LV"/>
        </w:rPr>
        <w:t xml:space="preserve"> ONP 2024/33</w:t>
      </w:r>
    </w:p>
    <w:p w14:paraId="71722158" w14:textId="77777777" w:rsidR="001320AD" w:rsidRPr="00684A1F" w:rsidRDefault="001320AD" w:rsidP="001320AD">
      <w:pPr>
        <w:jc w:val="center"/>
        <w:rPr>
          <w:b/>
          <w:bCs/>
          <w:sz w:val="24"/>
          <w:szCs w:val="24"/>
          <w:lang w:val="lv-LV"/>
        </w:rPr>
      </w:pPr>
      <w:r w:rsidRPr="00684A1F">
        <w:rPr>
          <w:b/>
          <w:sz w:val="24"/>
          <w:szCs w:val="24"/>
          <w:lang w:val="lv-LV"/>
        </w:rPr>
        <w:t>„</w:t>
      </w:r>
      <w:r w:rsidRPr="00684A1F">
        <w:rPr>
          <w:b/>
          <w:iCs/>
          <w:sz w:val="24"/>
          <w:szCs w:val="24"/>
          <w:lang w:val="lv-LV" w:eastAsia="lv-LV"/>
        </w:rPr>
        <w:t xml:space="preserve">Ceļa drošības barjeru uzstādīšana </w:t>
      </w:r>
      <w:proofErr w:type="spellStart"/>
      <w:r w:rsidRPr="00684A1F">
        <w:rPr>
          <w:b/>
          <w:iCs/>
          <w:sz w:val="24"/>
          <w:szCs w:val="24"/>
          <w:lang w:val="lv-LV" w:eastAsia="lv-LV"/>
        </w:rPr>
        <w:t>Medemciema</w:t>
      </w:r>
      <w:proofErr w:type="spellEnd"/>
      <w:r w:rsidRPr="00684A1F">
        <w:rPr>
          <w:b/>
          <w:iCs/>
          <w:sz w:val="24"/>
          <w:szCs w:val="24"/>
          <w:lang w:val="lv-LV" w:eastAsia="lv-LV"/>
        </w:rPr>
        <w:t xml:space="preserve"> ielā, </w:t>
      </w:r>
      <w:proofErr w:type="spellStart"/>
      <w:r w:rsidRPr="00684A1F">
        <w:rPr>
          <w:b/>
          <w:iCs/>
          <w:sz w:val="24"/>
          <w:szCs w:val="24"/>
          <w:lang w:val="lv-LV" w:eastAsia="lv-LV"/>
        </w:rPr>
        <w:t>Medemciemā</w:t>
      </w:r>
      <w:proofErr w:type="spellEnd"/>
      <w:r w:rsidRPr="00684A1F">
        <w:rPr>
          <w:b/>
          <w:iCs/>
          <w:sz w:val="24"/>
          <w:szCs w:val="24"/>
          <w:lang w:val="lv-LV" w:eastAsia="lv-LV"/>
        </w:rPr>
        <w:t>, Olaines novadā”</w:t>
      </w:r>
    </w:p>
    <w:bookmarkEnd w:id="2"/>
    <w:p w14:paraId="42763111" w14:textId="77777777" w:rsidR="001320AD" w:rsidRPr="00684A1F" w:rsidRDefault="001320AD" w:rsidP="001320AD">
      <w:pPr>
        <w:jc w:val="center"/>
        <w:rPr>
          <w:b/>
          <w:bCs/>
          <w:sz w:val="24"/>
          <w:szCs w:val="24"/>
          <w:lang w:val="lv-LV"/>
        </w:rPr>
      </w:pPr>
    </w:p>
    <w:p w14:paraId="4B453C01" w14:textId="77777777" w:rsidR="001320AD" w:rsidRPr="00684A1F" w:rsidRDefault="001320AD" w:rsidP="001320AD">
      <w:pPr>
        <w:jc w:val="center"/>
        <w:rPr>
          <w:b/>
          <w:sz w:val="24"/>
          <w:szCs w:val="24"/>
          <w:lang w:val="lv-LV"/>
        </w:rPr>
      </w:pPr>
      <w:r w:rsidRPr="00684A1F">
        <w:rPr>
          <w:b/>
          <w:sz w:val="24"/>
          <w:szCs w:val="24"/>
          <w:lang w:val="lv-LV"/>
        </w:rPr>
        <w:t>LĒMUMS</w:t>
      </w:r>
    </w:p>
    <w:p w14:paraId="3A1BE29B" w14:textId="77777777" w:rsidR="001320AD" w:rsidRPr="00684A1F" w:rsidRDefault="001320AD" w:rsidP="001320AD">
      <w:pPr>
        <w:jc w:val="center"/>
        <w:rPr>
          <w:b/>
          <w:sz w:val="24"/>
          <w:szCs w:val="24"/>
          <w:lang w:val="lv-LV"/>
        </w:rPr>
      </w:pPr>
    </w:p>
    <w:p w14:paraId="5AD131E5" w14:textId="77777777" w:rsidR="001320AD" w:rsidRPr="00684A1F" w:rsidRDefault="001320AD" w:rsidP="001320AD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684A1F">
        <w:rPr>
          <w:sz w:val="24"/>
          <w:szCs w:val="24"/>
          <w:lang w:val="lv-LV"/>
        </w:rPr>
        <w:t>2024.gada 01.augustā</w:t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color w:val="FF0000"/>
          <w:sz w:val="24"/>
          <w:szCs w:val="24"/>
          <w:lang w:val="lv-LV"/>
        </w:rPr>
        <w:tab/>
      </w:r>
      <w:r w:rsidRPr="00684A1F">
        <w:rPr>
          <w:sz w:val="24"/>
          <w:szCs w:val="24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1320AD" w:rsidRPr="00684A1F" w14:paraId="36B4A795" w14:textId="77777777" w:rsidTr="0001132F">
        <w:trPr>
          <w:trHeight w:val="6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303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  <w:p w14:paraId="493E853E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7E8A7C7A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562C" w14:textId="77777777" w:rsidR="001320AD" w:rsidRPr="00684A1F" w:rsidRDefault="001320AD" w:rsidP="00544DB0">
            <w:pPr>
              <w:rPr>
                <w:sz w:val="24"/>
                <w:szCs w:val="24"/>
              </w:rPr>
            </w:pPr>
            <w:r w:rsidRPr="00684A1F">
              <w:rPr>
                <w:sz w:val="24"/>
                <w:szCs w:val="24"/>
              </w:rPr>
              <w:t>ONP 2024/33</w:t>
            </w:r>
          </w:p>
        </w:tc>
      </w:tr>
      <w:tr w:rsidR="001320AD" w:rsidRPr="00684A1F" w14:paraId="2C3AEFB6" w14:textId="77777777" w:rsidTr="00544D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D18D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092" w14:textId="77777777" w:rsidR="001320AD" w:rsidRPr="00684A1F" w:rsidRDefault="001320AD" w:rsidP="00544DB0">
            <w:pPr>
              <w:rPr>
                <w:b/>
                <w:noProof/>
                <w:sz w:val="24"/>
                <w:szCs w:val="24"/>
              </w:rPr>
            </w:pPr>
            <w:r w:rsidRPr="00684A1F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75300C6A" w14:textId="77777777" w:rsidR="001320AD" w:rsidRPr="00684A1F" w:rsidRDefault="001320AD" w:rsidP="00544DB0">
            <w:pPr>
              <w:rPr>
                <w:noProof/>
                <w:sz w:val="24"/>
                <w:szCs w:val="24"/>
              </w:rPr>
            </w:pPr>
            <w:r w:rsidRPr="00684A1F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4F59345F" w14:textId="77777777" w:rsidR="001320AD" w:rsidRPr="00684A1F" w:rsidRDefault="001320AD" w:rsidP="00544DB0">
            <w:pPr>
              <w:rPr>
                <w:noProof/>
                <w:sz w:val="24"/>
                <w:szCs w:val="24"/>
              </w:rPr>
            </w:pPr>
            <w:r w:rsidRPr="00684A1F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1320AD" w:rsidRPr="00684A1F" w14:paraId="688BFF5F" w14:textId="77777777" w:rsidTr="0001132F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2BB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  <w:p w14:paraId="7B0ED30F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02C3F2A5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51B9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1320AD" w:rsidRPr="00684A1F" w14:paraId="7272BC4F" w14:textId="77777777" w:rsidTr="00544DB0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632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  <w:p w14:paraId="2FB63194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7B98C671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86D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sz w:val="24"/>
                <w:szCs w:val="24"/>
                <w:lang w:val="lv-LV"/>
              </w:rPr>
              <w:t xml:space="preserve">Ceļa drošības barjeru uzstādīšana </w:t>
            </w:r>
            <w:proofErr w:type="spellStart"/>
            <w:r w:rsidRPr="00684A1F">
              <w:rPr>
                <w:sz w:val="24"/>
                <w:szCs w:val="24"/>
                <w:lang w:val="lv-LV"/>
              </w:rPr>
              <w:t>Medemciema</w:t>
            </w:r>
            <w:proofErr w:type="spellEnd"/>
            <w:r w:rsidRPr="00684A1F">
              <w:rPr>
                <w:sz w:val="24"/>
                <w:szCs w:val="24"/>
                <w:lang w:val="lv-LV"/>
              </w:rPr>
              <w:t xml:space="preserve"> ielā, </w:t>
            </w:r>
            <w:proofErr w:type="spellStart"/>
            <w:r w:rsidRPr="00684A1F">
              <w:rPr>
                <w:sz w:val="24"/>
                <w:szCs w:val="24"/>
                <w:lang w:val="lv-LV"/>
              </w:rPr>
              <w:t>Medemciemā</w:t>
            </w:r>
            <w:proofErr w:type="spellEnd"/>
            <w:r w:rsidRPr="00684A1F">
              <w:rPr>
                <w:sz w:val="24"/>
                <w:szCs w:val="24"/>
                <w:lang w:val="lv-LV"/>
              </w:rPr>
              <w:t>, Olaines novadā atbilstoši nolikumam un Nolikuma pielikumos noteiktajām prasībām.</w:t>
            </w:r>
          </w:p>
        </w:tc>
      </w:tr>
      <w:tr w:rsidR="001320AD" w:rsidRPr="00684A1F" w14:paraId="0B53B5B6" w14:textId="77777777" w:rsidTr="00544DB0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242D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763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</w:p>
          <w:p w14:paraId="72218762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noProof/>
                <w:sz w:val="24"/>
                <w:szCs w:val="24"/>
                <w:lang w:val="lv-LV"/>
              </w:rPr>
              <w:t xml:space="preserve">Iepirkuma priekšmets nav sadalīts daļās </w:t>
            </w:r>
          </w:p>
        </w:tc>
      </w:tr>
      <w:tr w:rsidR="001320AD" w:rsidRPr="00684A1F" w14:paraId="268BEDBA" w14:textId="77777777" w:rsidTr="00544D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CB61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0DEC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noProof/>
                <w:sz w:val="24"/>
                <w:szCs w:val="24"/>
                <w:lang w:val="lv-LV"/>
              </w:rPr>
              <w:t>17.07.2024.</w:t>
            </w:r>
          </w:p>
        </w:tc>
      </w:tr>
      <w:tr w:rsidR="001320AD" w:rsidRPr="00684A1F" w14:paraId="1AB0DEC5" w14:textId="77777777" w:rsidTr="00544DB0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DFD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3F72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noProof/>
                <w:sz w:val="24"/>
                <w:szCs w:val="24"/>
                <w:lang w:val="lv-LV"/>
              </w:rPr>
              <w:t>01.08.2024.</w:t>
            </w:r>
          </w:p>
        </w:tc>
      </w:tr>
      <w:tr w:rsidR="001320AD" w:rsidRPr="00684A1F" w14:paraId="37C77C5C" w14:textId="77777777" w:rsidTr="00544DB0">
        <w:trPr>
          <w:trHeight w:val="1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E3B1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B2A6" w14:textId="77777777" w:rsidR="001320AD" w:rsidRPr="00684A1F" w:rsidRDefault="001320AD" w:rsidP="00544DB0">
            <w:pPr>
              <w:rPr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617" w:type="pct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695"/>
              <w:gridCol w:w="2126"/>
            </w:tblGrid>
            <w:tr w:rsidR="001320AD" w:rsidRPr="00684A1F" w14:paraId="44407A21" w14:textId="77777777" w:rsidTr="00544DB0">
              <w:tc>
                <w:tcPr>
                  <w:tcW w:w="1792" w:type="pct"/>
                  <w:shd w:val="pct10" w:color="auto" w:fill="auto"/>
                </w:tcPr>
                <w:p w14:paraId="7E3F70BA" w14:textId="77777777" w:rsidR="001320AD" w:rsidRPr="00684A1F" w:rsidRDefault="001320AD" w:rsidP="00544DB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84A1F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93" w:type="pct"/>
                  <w:shd w:val="pct10" w:color="auto" w:fill="auto"/>
                </w:tcPr>
                <w:p w14:paraId="62D49B62" w14:textId="77777777" w:rsidR="001320AD" w:rsidRPr="00684A1F" w:rsidRDefault="001320AD" w:rsidP="00544DB0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84A1F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684A1F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16" w:type="pct"/>
                  <w:shd w:val="pct10" w:color="auto" w:fill="auto"/>
                </w:tcPr>
                <w:p w14:paraId="1159FCB6" w14:textId="77777777" w:rsidR="001320AD" w:rsidRPr="00684A1F" w:rsidRDefault="001320AD" w:rsidP="00544DB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84A1F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1320AD" w:rsidRPr="00684A1F" w14:paraId="0F65460B" w14:textId="77777777" w:rsidTr="00544DB0">
              <w:tc>
                <w:tcPr>
                  <w:tcW w:w="1792" w:type="pct"/>
                </w:tcPr>
                <w:p w14:paraId="789A1DAD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"HODOS" SIA</w:t>
                  </w:r>
                  <w:r w:rsidRPr="00684A1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93" w:type="pct"/>
                </w:tcPr>
                <w:p w14:paraId="4B715FF2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 xml:space="preserve">23.07.2024 </w:t>
                  </w:r>
                  <w:proofErr w:type="spellStart"/>
                  <w:r w:rsidRPr="00684A1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684A1F">
                    <w:rPr>
                      <w:sz w:val="24"/>
                      <w:szCs w:val="24"/>
                    </w:rPr>
                    <w:t>. 10:21</w:t>
                  </w:r>
                </w:p>
              </w:tc>
              <w:tc>
                <w:tcPr>
                  <w:tcW w:w="1416" w:type="pct"/>
                </w:tcPr>
                <w:p w14:paraId="577AA88B" w14:textId="77777777" w:rsidR="001320AD" w:rsidRPr="00684A1F" w:rsidRDefault="001320AD" w:rsidP="00544DB0">
                  <w:pPr>
                    <w:rPr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EUR 12670.44</w:t>
                  </w:r>
                </w:p>
                <w:p w14:paraId="17A0D057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1320AD" w:rsidRPr="00684A1F" w14:paraId="26792C3E" w14:textId="77777777" w:rsidTr="00544DB0">
              <w:tc>
                <w:tcPr>
                  <w:tcW w:w="1792" w:type="pct"/>
                </w:tcPr>
                <w:p w14:paraId="3B3CBC75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684A1F">
                    <w:rPr>
                      <w:sz w:val="24"/>
                      <w:szCs w:val="24"/>
                    </w:rPr>
                    <w:t>Saava</w:t>
                  </w:r>
                  <w:proofErr w:type="spellEnd"/>
                  <w:r w:rsidRPr="00684A1F">
                    <w:rPr>
                      <w:sz w:val="24"/>
                      <w:szCs w:val="24"/>
                    </w:rPr>
                    <w:t>-LV" SIA</w:t>
                  </w:r>
                  <w:r w:rsidRPr="00684A1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93" w:type="pct"/>
                </w:tcPr>
                <w:p w14:paraId="2416B1A4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 xml:space="preserve">31.07.2024 </w:t>
                  </w:r>
                  <w:proofErr w:type="spellStart"/>
                  <w:r w:rsidRPr="00684A1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684A1F">
                    <w:rPr>
                      <w:sz w:val="24"/>
                      <w:szCs w:val="24"/>
                    </w:rPr>
                    <w:t>. 14:37</w:t>
                  </w:r>
                </w:p>
              </w:tc>
              <w:tc>
                <w:tcPr>
                  <w:tcW w:w="1416" w:type="pct"/>
                </w:tcPr>
                <w:p w14:paraId="15A9B1F4" w14:textId="77777777" w:rsidR="001320AD" w:rsidRPr="00684A1F" w:rsidRDefault="001320AD" w:rsidP="00544DB0">
                  <w:pPr>
                    <w:rPr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EUR 13066.38</w:t>
                  </w:r>
                </w:p>
                <w:p w14:paraId="2A1C9B29" w14:textId="77777777" w:rsidR="001320AD" w:rsidRPr="00684A1F" w:rsidRDefault="001320AD" w:rsidP="00544DB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1A310C8" w14:textId="77777777" w:rsidR="001320AD" w:rsidRPr="00684A1F" w:rsidRDefault="001320AD" w:rsidP="00544DB0">
            <w:pPr>
              <w:rPr>
                <w:sz w:val="24"/>
                <w:szCs w:val="24"/>
                <w:lang w:val="lv-LV"/>
              </w:rPr>
            </w:pPr>
          </w:p>
        </w:tc>
      </w:tr>
      <w:tr w:rsidR="001320AD" w:rsidRPr="00684A1F" w14:paraId="4644DAA3" w14:textId="77777777" w:rsidTr="00544DB0">
        <w:trPr>
          <w:trHeight w:val="19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5A2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B3D" w14:textId="77777777" w:rsidR="001320AD" w:rsidRPr="00684A1F" w:rsidRDefault="001320AD" w:rsidP="00544DB0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684A1F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684A1F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684A1F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684A1F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  <w:p w14:paraId="37F828E0" w14:textId="77777777" w:rsidR="001320AD" w:rsidRPr="00684A1F" w:rsidRDefault="001320AD" w:rsidP="00544DB0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</w:p>
        </w:tc>
      </w:tr>
      <w:tr w:rsidR="001320AD" w:rsidRPr="00684A1F" w14:paraId="6417312A" w14:textId="77777777" w:rsidTr="00544DB0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8112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71EC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  <w:r w:rsidRPr="00684A1F">
              <w:rPr>
                <w:noProof/>
                <w:sz w:val="24"/>
                <w:szCs w:val="24"/>
                <w:lang w:val="lv-LV"/>
              </w:rPr>
              <w:t>01.08.2024.</w:t>
            </w:r>
          </w:p>
        </w:tc>
      </w:tr>
      <w:tr w:rsidR="001320AD" w:rsidRPr="00684A1F" w14:paraId="08B17BEE" w14:textId="77777777" w:rsidTr="00544DB0">
        <w:trPr>
          <w:trHeight w:val="14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0E91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C99D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1320AD" w:rsidRPr="00684A1F" w14:paraId="1830C299" w14:textId="77777777" w:rsidTr="00544DB0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845F5" w14:textId="77777777" w:rsidR="001320AD" w:rsidRPr="00684A1F" w:rsidRDefault="001320AD" w:rsidP="00544DB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684A1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08B24" w14:textId="77777777" w:rsidR="001320AD" w:rsidRPr="00684A1F" w:rsidRDefault="001320AD" w:rsidP="00544DB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684A1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līgumcena EUR</w:t>
                  </w:r>
                </w:p>
                <w:p w14:paraId="4CB6B453" w14:textId="77777777" w:rsidR="001320AD" w:rsidRPr="00684A1F" w:rsidRDefault="001320AD" w:rsidP="00544DB0">
                  <w:pPr>
                    <w:spacing w:line="276" w:lineRule="auto"/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684A1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1320AD" w:rsidRPr="00684A1F" w14:paraId="32633953" w14:textId="77777777" w:rsidTr="00544DB0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63762" w14:textId="77777777" w:rsidR="001320AD" w:rsidRPr="00684A1F" w:rsidRDefault="001320AD" w:rsidP="00544D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"HODOS" SIA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76F3D" w14:textId="77777777" w:rsidR="001320AD" w:rsidRPr="00684A1F" w:rsidRDefault="001320AD" w:rsidP="00544D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684A1F">
                    <w:rPr>
                      <w:sz w:val="24"/>
                      <w:szCs w:val="24"/>
                    </w:rPr>
                    <w:t>EUR 12 670,44</w:t>
                  </w:r>
                </w:p>
              </w:tc>
            </w:tr>
          </w:tbl>
          <w:p w14:paraId="239AE78B" w14:textId="77777777" w:rsidR="001320AD" w:rsidRPr="00684A1F" w:rsidRDefault="001320AD" w:rsidP="00544DB0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1320AD" w:rsidRPr="00684A1F" w14:paraId="5CD172B1" w14:textId="77777777" w:rsidTr="00544DB0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0CAD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1550" w14:textId="77777777" w:rsidR="001320AD" w:rsidRPr="00684A1F" w:rsidRDefault="001320AD" w:rsidP="00544DB0">
            <w:pPr>
              <w:spacing w:after="60"/>
              <w:jc w:val="both"/>
              <w:rPr>
                <w:noProof/>
                <w:sz w:val="24"/>
                <w:szCs w:val="24"/>
                <w:lang w:val="lv-LV"/>
              </w:rPr>
            </w:pPr>
            <w:bookmarkStart w:id="3" w:name="_Hlk172040811"/>
            <w:bookmarkStart w:id="4" w:name="_Hlk172040661"/>
            <w:r w:rsidRPr="00684A1F">
              <w:rPr>
                <w:b/>
                <w:noProof/>
                <w:sz w:val="24"/>
                <w:szCs w:val="24"/>
                <w:lang w:val="lv-LV"/>
              </w:rPr>
              <w:t>SIA „</w:t>
            </w:r>
            <w:r w:rsidRPr="00684A1F">
              <w:rPr>
                <w:b/>
                <w:sz w:val="24"/>
                <w:szCs w:val="24"/>
              </w:rPr>
              <w:t>HODOS</w:t>
            </w:r>
            <w:r w:rsidRPr="00684A1F">
              <w:rPr>
                <w:b/>
                <w:noProof/>
                <w:sz w:val="24"/>
                <w:szCs w:val="24"/>
                <w:lang w:val="lv-LV"/>
              </w:rPr>
              <w:t>”</w:t>
            </w:r>
            <w:bookmarkEnd w:id="3"/>
            <w:r w:rsidRPr="00684A1F">
              <w:rPr>
                <w:b/>
                <w:noProof/>
                <w:sz w:val="24"/>
                <w:szCs w:val="24"/>
                <w:lang w:val="lv-LV"/>
              </w:rPr>
              <w:t xml:space="preserve">, reģ. Nr. </w:t>
            </w:r>
            <w:r w:rsidRPr="00684A1F">
              <w:rPr>
                <w:b/>
                <w:bCs/>
                <w:sz w:val="24"/>
                <w:szCs w:val="24"/>
              </w:rPr>
              <w:t>40003123171</w:t>
            </w:r>
            <w:bookmarkEnd w:id="4"/>
            <w:r w:rsidRPr="00684A1F">
              <w:rPr>
                <w:b/>
                <w:sz w:val="24"/>
                <w:szCs w:val="24"/>
                <w:lang w:val="lv-LV"/>
              </w:rPr>
              <w:t>,</w:t>
            </w:r>
            <w:r w:rsidRPr="00684A1F">
              <w:rPr>
                <w:b/>
                <w:noProof/>
                <w:sz w:val="24"/>
                <w:szCs w:val="24"/>
                <w:lang w:val="lv-LV"/>
              </w:rPr>
              <w:t xml:space="preserve"> </w:t>
            </w:r>
            <w:r w:rsidRPr="00684A1F">
              <w:rPr>
                <w:noProof/>
                <w:sz w:val="24"/>
                <w:szCs w:val="24"/>
                <w:lang w:val="lv-LV"/>
              </w:rPr>
              <w:t>n</w:t>
            </w:r>
            <w:bookmarkStart w:id="5" w:name="_Hlk130387915"/>
            <w:r w:rsidRPr="00684A1F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684A1F">
              <w:rPr>
                <w:sz w:val="24"/>
                <w:szCs w:val="24"/>
                <w:lang w:val="lv-LV"/>
              </w:rPr>
              <w:t xml:space="preserve">un ir iesniegusi piedāvājumu ar viszemāko </w:t>
            </w:r>
            <w:r w:rsidRPr="00684A1F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684A1F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6" w:name="_Hlk130387839"/>
            <w:r w:rsidRPr="00684A1F">
              <w:rPr>
                <w:b/>
                <w:sz w:val="24"/>
                <w:szCs w:val="24"/>
                <w:lang w:val="lv-LV"/>
              </w:rPr>
              <w:t xml:space="preserve">EUR </w:t>
            </w:r>
            <w:r w:rsidRPr="00684A1F">
              <w:rPr>
                <w:b/>
                <w:bCs/>
                <w:sz w:val="24"/>
                <w:szCs w:val="24"/>
              </w:rPr>
              <w:t>12 670,44</w:t>
            </w:r>
            <w:r w:rsidRPr="00684A1F">
              <w:rPr>
                <w:sz w:val="24"/>
                <w:szCs w:val="24"/>
                <w:lang w:val="lv-LV"/>
              </w:rPr>
              <w:t xml:space="preserve"> (divpadsmit tūkstoši seši simti septiņdesmit </w:t>
            </w:r>
            <w:proofErr w:type="spellStart"/>
            <w:r w:rsidRPr="00684A1F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684A1F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684A1F">
              <w:rPr>
                <w:sz w:val="24"/>
                <w:szCs w:val="24"/>
                <w:lang w:val="lv-LV"/>
              </w:rPr>
              <w:t>un</w:t>
            </w:r>
            <w:r w:rsidRPr="00684A1F">
              <w:rPr>
                <w:i/>
                <w:sz w:val="24"/>
                <w:szCs w:val="24"/>
                <w:lang w:val="lv-LV"/>
              </w:rPr>
              <w:t xml:space="preserve"> 44 centi</w:t>
            </w:r>
            <w:r w:rsidRPr="00684A1F">
              <w:rPr>
                <w:sz w:val="24"/>
                <w:szCs w:val="24"/>
                <w:lang w:val="lv-LV"/>
              </w:rPr>
              <w:t>) bez PVN</w:t>
            </w:r>
            <w:r w:rsidRPr="00684A1F">
              <w:rPr>
                <w:noProof/>
                <w:sz w:val="24"/>
                <w:szCs w:val="24"/>
                <w:lang w:val="lv-LV"/>
              </w:rPr>
              <w:t>.</w:t>
            </w:r>
            <w:bookmarkEnd w:id="5"/>
            <w:bookmarkEnd w:id="6"/>
          </w:p>
        </w:tc>
      </w:tr>
      <w:tr w:rsidR="001320AD" w:rsidRPr="00684A1F" w14:paraId="16FB1014" w14:textId="77777777" w:rsidTr="00544D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E38A" w14:textId="77777777" w:rsidR="001320AD" w:rsidRPr="00684A1F" w:rsidRDefault="001320AD" w:rsidP="00544DB0">
            <w:pPr>
              <w:rPr>
                <w:b/>
                <w:sz w:val="24"/>
                <w:szCs w:val="24"/>
                <w:lang w:val="lv-LV"/>
              </w:rPr>
            </w:pPr>
            <w:r w:rsidRPr="00684A1F">
              <w:rPr>
                <w:b/>
                <w:sz w:val="24"/>
                <w:szCs w:val="24"/>
                <w:lang w:val="lv-LV"/>
              </w:rPr>
              <w:lastRenderedPageBreak/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0CE8" w14:textId="77777777" w:rsidR="001320AD" w:rsidRPr="00684A1F" w:rsidRDefault="001320AD" w:rsidP="00544DB0">
            <w:pPr>
              <w:rPr>
                <w:bCs/>
                <w:sz w:val="24"/>
                <w:szCs w:val="24"/>
                <w:lang w:val="lv-LV"/>
              </w:rPr>
            </w:pPr>
            <w:r w:rsidRPr="00684A1F">
              <w:rPr>
                <w:bCs/>
                <w:sz w:val="24"/>
                <w:szCs w:val="24"/>
                <w:lang w:val="lv-LV"/>
              </w:rPr>
              <w:t>Nav</w:t>
            </w:r>
          </w:p>
        </w:tc>
      </w:tr>
      <w:bookmarkEnd w:id="0"/>
    </w:tbl>
    <w:p w14:paraId="38A4830B" w14:textId="77777777" w:rsidR="001320AD" w:rsidRPr="00684A1F" w:rsidRDefault="001320AD" w:rsidP="001320AD">
      <w:pPr>
        <w:tabs>
          <w:tab w:val="left" w:pos="5812"/>
        </w:tabs>
        <w:rPr>
          <w:sz w:val="24"/>
          <w:szCs w:val="24"/>
          <w:lang w:val="lv-LV"/>
        </w:rPr>
      </w:pPr>
    </w:p>
    <w:bookmarkEnd w:id="1"/>
    <w:p w14:paraId="1A44042E" w14:textId="77777777" w:rsidR="001320AD" w:rsidRPr="00684A1F" w:rsidRDefault="001320AD" w:rsidP="001320AD">
      <w:pPr>
        <w:rPr>
          <w:sz w:val="24"/>
          <w:szCs w:val="24"/>
          <w:lang w:val="lv-LV"/>
        </w:rPr>
      </w:pPr>
    </w:p>
    <w:p w14:paraId="5F265737" w14:textId="77777777" w:rsidR="004302CA" w:rsidRPr="00513D98" w:rsidRDefault="004302CA" w:rsidP="00513D98"/>
    <w:sectPr w:rsidR="004302CA" w:rsidRPr="00513D98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1132F"/>
    <w:rsid w:val="00083361"/>
    <w:rsid w:val="00092771"/>
    <w:rsid w:val="000A0CD6"/>
    <w:rsid w:val="000A1666"/>
    <w:rsid w:val="000D53EC"/>
    <w:rsid w:val="001002B2"/>
    <w:rsid w:val="001205D1"/>
    <w:rsid w:val="00131882"/>
    <w:rsid w:val="001320AD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3622"/>
    <w:rsid w:val="00385DE2"/>
    <w:rsid w:val="003B44E0"/>
    <w:rsid w:val="003F707A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13D98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B3922"/>
    <w:rsid w:val="008D02E8"/>
    <w:rsid w:val="008F266D"/>
    <w:rsid w:val="00900B79"/>
    <w:rsid w:val="00916ED0"/>
    <w:rsid w:val="009263D9"/>
    <w:rsid w:val="009309AA"/>
    <w:rsid w:val="009827F8"/>
    <w:rsid w:val="00991C0E"/>
    <w:rsid w:val="009A07B2"/>
    <w:rsid w:val="009A2B9E"/>
    <w:rsid w:val="009C66EB"/>
    <w:rsid w:val="009E6215"/>
    <w:rsid w:val="009E7FF1"/>
    <w:rsid w:val="00A10CC2"/>
    <w:rsid w:val="00A3232E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F3A58"/>
    <w:rsid w:val="00F3681A"/>
    <w:rsid w:val="00F470AC"/>
    <w:rsid w:val="00F57E11"/>
    <w:rsid w:val="00F97D04"/>
    <w:rsid w:val="00FB409F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117</cp:revision>
  <cp:lastPrinted>2021-03-24T07:29:00Z</cp:lastPrinted>
  <dcterms:created xsi:type="dcterms:W3CDTF">2015-02-05T08:30:00Z</dcterms:created>
  <dcterms:modified xsi:type="dcterms:W3CDTF">2024-08-01T12:53:00Z</dcterms:modified>
</cp:coreProperties>
</file>